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pPr>
      <w:r>
        <w:rPr>
          <w:rFonts w:ascii="微软雅黑" w:hAnsi="微软雅黑" w:eastAsia="微软雅黑" w:cs="微软雅黑"/>
          <w:b w:val="0"/>
          <w:i w:val="0"/>
          <w:caps w:val="0"/>
          <w:color w:val="000000"/>
          <w:spacing w:val="0"/>
          <w:sz w:val="39"/>
          <w:szCs w:val="39"/>
          <w:shd w:val="clear" w:fill="FFFFFF"/>
        </w:rPr>
        <w:t>蜀科</w:t>
      </w:r>
      <w:bookmarkStart w:id="0" w:name="_GoBack"/>
      <w:bookmarkEnd w:id="0"/>
      <w:r>
        <w:rPr>
          <w:rFonts w:ascii="微软雅黑" w:hAnsi="微软雅黑" w:eastAsia="微软雅黑" w:cs="微软雅黑"/>
          <w:b w:val="0"/>
          <w:i w:val="0"/>
          <w:caps w:val="0"/>
          <w:color w:val="000000"/>
          <w:spacing w:val="0"/>
          <w:sz w:val="39"/>
          <w:szCs w:val="39"/>
          <w:shd w:val="clear" w:fill="FFFFFF"/>
        </w:rPr>
        <w:t>高速离心机提高乳糜血清生化结果的准确性</w:t>
      </w:r>
    </w:p>
    <w:p>
      <w:pPr>
        <w:keepNext w:val="0"/>
        <w:keepLines w:val="0"/>
        <w:widowControl/>
        <w:suppressLineNumbers w:val="0"/>
        <w:spacing w:after="240" w:afterAutospacing="0"/>
        <w:ind w:firstLine="420" w:firstLineChars="200"/>
        <w:jc w:val="left"/>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蜀科</w:t>
      </w:r>
      <w:r>
        <w:rPr>
          <w:rFonts w:hint="eastAsia" w:ascii="宋体" w:hAnsi="宋体" w:eastAsia="宋体" w:cs="宋体"/>
          <w:b w:val="0"/>
          <w:i w:val="0"/>
          <w:caps w:val="0"/>
          <w:color w:val="26709A"/>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26709A"/>
          <w:spacing w:val="0"/>
          <w:kern w:val="0"/>
          <w:sz w:val="21"/>
          <w:szCs w:val="21"/>
          <w:u w:val="none"/>
          <w:bdr w:val="none" w:color="auto" w:sz="0" w:space="0"/>
          <w:shd w:val="clear" w:fill="FFFFFF"/>
          <w:lang w:val="en-US" w:eastAsia="zh-CN" w:bidi="ar"/>
        </w:rPr>
        <w:instrText xml:space="preserve"> HYPERLINK "http://www.sklxj.com/" \o "http://www.sklxj.com" \t "https://h5.qzone.qq.com/proxy/domain/b.qzone.qq.com/cgi-bin/blognew/_blank" </w:instrText>
      </w:r>
      <w:r>
        <w:rPr>
          <w:rFonts w:hint="eastAsia" w:ascii="宋体" w:hAnsi="宋体" w:eastAsia="宋体" w:cs="宋体"/>
          <w:b w:val="0"/>
          <w:i w:val="0"/>
          <w:caps w:val="0"/>
          <w:color w:val="26709A"/>
          <w:spacing w:val="0"/>
          <w:kern w:val="0"/>
          <w:sz w:val="21"/>
          <w:szCs w:val="21"/>
          <w:u w:val="none"/>
          <w:bdr w:val="none" w:color="auto" w:sz="0" w:space="0"/>
          <w:shd w:val="clear" w:fill="FFFFFF"/>
          <w:lang w:val="en-US" w:eastAsia="zh-CN" w:bidi="ar"/>
        </w:rPr>
        <w:fldChar w:fldCharType="separate"/>
      </w:r>
      <w:r>
        <w:rPr>
          <w:rStyle w:val="4"/>
          <w:rFonts w:hint="eastAsia" w:ascii="宋体" w:hAnsi="宋体" w:eastAsia="宋体" w:cs="宋体"/>
          <w:b/>
          <w:i w:val="0"/>
          <w:caps w:val="0"/>
          <w:color w:val="26709A"/>
          <w:spacing w:val="0"/>
          <w:sz w:val="21"/>
          <w:szCs w:val="21"/>
          <w:u w:val="none"/>
          <w:bdr w:val="none" w:color="auto" w:sz="0" w:space="0"/>
          <w:shd w:val="clear" w:fill="FFFFFF"/>
        </w:rPr>
        <w:t>台式高速离心机</w:t>
      </w:r>
      <w:r>
        <w:rPr>
          <w:rFonts w:hint="eastAsia" w:ascii="宋体" w:hAnsi="宋体" w:eastAsia="宋体" w:cs="宋体"/>
          <w:b w:val="0"/>
          <w:i w:val="0"/>
          <w:caps w:val="0"/>
          <w:color w:val="26709A"/>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广泛应用于生物学、农业科学及临床医学研究，遗传工程、蛋白核酸研究等领域，此次乳糜血清通过蜀科高速离心机的二次处理，提高了标本质量，提高了检测项目结果的准确性，从而更好满足了临床需求。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1．标本与方法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1．1标本为门诊采集到的5例乳糜血清。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1．2方法：先对5例乳糜血清标本上全自动生化仪，检测标本内血糖(GLU)、谷丙转氨酶(ALT)、心肌钙蛋白(CTNI)的结果，然后蜀科台式高速离心机在12000r／min(离心力为10．3kg)的转速下</w:t>
      </w:r>
      <w:r>
        <w:rPr>
          <w:rFonts w:hint="default" w:ascii="Helvetica Neue" w:hAnsi="Helvetica Neue" w:eastAsia="Helvetica Neue" w:cs="Helvetica Neue"/>
          <w:b w:val="0"/>
          <w:i w:val="0"/>
          <w:caps w:val="0"/>
          <w:color w:val="337AB7"/>
          <w:spacing w:val="0"/>
          <w:sz w:val="21"/>
          <w:szCs w:val="21"/>
          <w:u w:val="none"/>
          <w:bdr w:val="none" w:color="auto" w:sz="0" w:space="0"/>
          <w:shd w:val="clear" w:fill="FFFFFF"/>
        </w:rPr>
        <w:fldChar w:fldCharType="begin"/>
      </w:r>
      <w:r>
        <w:rPr>
          <w:rFonts w:hint="default" w:ascii="Helvetica Neue" w:hAnsi="Helvetica Neue" w:eastAsia="Helvetica Neue" w:cs="Helvetica Neue"/>
          <w:b w:val="0"/>
          <w:i w:val="0"/>
          <w:caps w:val="0"/>
          <w:color w:val="337AB7"/>
          <w:spacing w:val="0"/>
          <w:sz w:val="21"/>
          <w:szCs w:val="21"/>
          <w:u w:val="none"/>
          <w:bdr w:val="none" w:color="auto" w:sz="0" w:space="0"/>
          <w:shd w:val="clear" w:fill="FFFFFF"/>
        </w:rPr>
        <w:instrText xml:space="preserve"> HYPERLINK "http://www.ytyq.com/" \o "离心机" \t "https://h5.qzone.qq.com/proxy/domain/b.qzone.qq.com/cgi-bin/blognew/_blank" </w:instrText>
      </w:r>
      <w:r>
        <w:rPr>
          <w:rFonts w:hint="default" w:ascii="Helvetica Neue" w:hAnsi="Helvetica Neue" w:eastAsia="Helvetica Neue" w:cs="Helvetica Neue"/>
          <w:b w:val="0"/>
          <w:i w:val="0"/>
          <w:caps w:val="0"/>
          <w:color w:val="337AB7"/>
          <w:spacing w:val="0"/>
          <w:sz w:val="21"/>
          <w:szCs w:val="21"/>
          <w:u w:val="none"/>
          <w:bdr w:val="none" w:color="auto" w:sz="0" w:space="0"/>
          <w:shd w:val="clear" w:fill="FFFFFF"/>
        </w:rPr>
        <w:fldChar w:fldCharType="separate"/>
      </w:r>
      <w:r>
        <w:rPr>
          <w:rStyle w:val="4"/>
          <w:rFonts w:hint="eastAsia" w:ascii="宋体" w:hAnsi="宋体" w:eastAsia="宋体" w:cs="宋体"/>
          <w:b w:val="0"/>
          <w:i w:val="0"/>
          <w:caps w:val="0"/>
          <w:color w:val="000000"/>
          <w:spacing w:val="0"/>
          <w:sz w:val="21"/>
          <w:szCs w:val="21"/>
          <w:u w:val="none"/>
          <w:bdr w:val="none" w:color="auto" w:sz="0" w:space="0"/>
          <w:shd w:val="clear" w:fill="FFFFFF"/>
        </w:rPr>
        <w:t>离心机</w:t>
      </w:r>
      <w:r>
        <w:rPr>
          <w:rFonts w:hint="default" w:ascii="Helvetica Neue" w:hAnsi="Helvetica Neue" w:eastAsia="Helvetica Neue" w:cs="Helvetica Neue"/>
          <w:b w:val="0"/>
          <w:i w:val="0"/>
          <w:caps w:val="0"/>
          <w:color w:val="337AB7"/>
          <w:spacing w:val="0"/>
          <w:sz w:val="21"/>
          <w:szCs w:val="21"/>
          <w:u w:val="none"/>
          <w:bdr w:val="none" w:color="auto" w:sz="0" w:space="0"/>
          <w:shd w:val="clear" w:fill="FFFFFF"/>
        </w:rPr>
        <w:fldChar w:fldCharType="end"/>
      </w:r>
      <w:r>
        <w:rPr>
          <w:rFonts w:hint="eastAsia" w:ascii="宋体" w:hAnsi="宋体" w:eastAsia="宋体" w:cs="宋体"/>
          <w:b w:val="0"/>
          <w:i w:val="0"/>
          <w:caps w:val="0"/>
          <w:color w:val="000000"/>
          <w:spacing w:val="0"/>
          <w:sz w:val="21"/>
          <w:szCs w:val="21"/>
          <w:bdr w:val="none" w:color="auto" w:sz="0" w:space="0"/>
          <w:shd w:val="clear" w:fill="FFFFFF"/>
        </w:rPr>
        <w:t>离心30分钟，吸取底部无乳糜颗粒的血清再检测上述三个项目的结果，通过比对离心前后的两次结果差异，得出高速离心处理后的效果。</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6057900" cy="411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6057900" cy="411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2．结果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通过上图可以发现乳糜血清标本离心前后三个项目的检测结果：GLU差距较小，ALT、CTNI则比较大，原因是GLU的测定方法为己糖激酶法，己糖激酶法是国际上GLU的参考方法。该检测方法测定GLU对抗干扰比较强，特异性较高，外加双试剂双波长也能在一定的程度上消除血清内其他物质的干扰；ALT属于酶类，生化仪测定的方法为连续监测法，检测方法对抗乳糜皿清干扰能力小，离心前后的数据对比结果差距很大；生化仪测定CTNI的方法为透射比浊法，透射比浊法对抗乳糜血清干扰的能力弱，采用的是单波长测定，完全不能排出庙L清中乳糜颗粒的干扰，结果离心前后的数据差距也很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3．讨论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Neue" w:hAnsi="Helvetica Neue" w:eastAsia="Helvetica Neue" w:cs="Helvetica Neue"/>
          <w:b w:val="0"/>
          <w:i w:val="0"/>
          <w:caps w:val="0"/>
          <w:color w:val="333333"/>
          <w:spacing w:val="0"/>
          <w:sz w:val="18"/>
          <w:szCs w:val="18"/>
        </w:rPr>
      </w:pPr>
      <w:r>
        <w:rPr>
          <w:rFonts w:hint="eastAsia" w:ascii="宋体" w:hAnsi="宋体" w:eastAsia="宋体" w:cs="宋体"/>
          <w:b w:val="0"/>
          <w:i w:val="0"/>
          <w:caps w:val="0"/>
          <w:color w:val="000000"/>
          <w:spacing w:val="0"/>
          <w:sz w:val="21"/>
          <w:szCs w:val="21"/>
          <w:bdr w:val="none" w:color="auto" w:sz="0" w:space="0"/>
          <w:shd w:val="clear" w:fill="FFFFFF"/>
        </w:rPr>
        <w:t>生化检测中，选用好的方法，好的试剂对消除乳糜血清的影响确实有一定的作用，但目前来说，现有的大多数方法或试剂都不能彻底消除乳糜血清对生化检测的影响，特别是酶类和一些采用透射比浊法分析的项目，如CTNI、LP(a)、免疫球蛋白等，原因是乳糜血清乳糜颗粒含量很高，使血清很浑浊，从而影响到生化仪光路透射，检测过程中吸光度增高，使结果假性增高。我们通过采用高速离心机对乳糜血清离心后，由于乳糜颗粒质量较小，离心后乳糜颗粒悬浮在血清上层，较清亮的血清则在下层，用下层的血清来做生化检测，排出了乳糜颗粒的干扰，从而得到较准确的生化结果。以往大多数医院检验科接到乳糜血清标本的话，都是拒收或者直接检测，这样的做法不能使临床医生快速的得到患者的检测结果或者得到一些不准确的结果，而延误了患者的诊治，因此采用蜀科台式高速离心机进行前处理，是很不错的选择。</w:t>
      </w:r>
    </w:p>
    <w:p>
      <w:pPr>
        <w:rPr>
          <w:rFonts w:ascii="宋体" w:hAnsi="宋体" w:eastAsia="宋体" w:cs="宋体"/>
          <w:sz w:val="24"/>
          <w:szCs w:val="24"/>
        </w:rPr>
      </w:pPr>
      <w:r>
        <w:rPr>
          <w:rFonts w:ascii="punctuation" w:hAnsi="punctuation" w:eastAsia="punctuation" w:cs="punctuation"/>
          <w:b w:val="0"/>
          <w:i w:val="0"/>
          <w:caps w:val="0"/>
          <w:color w:val="000000"/>
          <w:spacing w:val="0"/>
          <w:sz w:val="21"/>
          <w:szCs w:val="21"/>
          <w:shd w:val="clear" w:fill="FFFFFF"/>
        </w:rPr>
        <w:t>   </w:t>
      </w:r>
      <w:r>
        <w:rPr>
          <w:rFonts w:hint="default" w:ascii="punctuation" w:hAnsi="punctuation" w:eastAsia="punctuation" w:cs="punctuation"/>
          <w:b w:val="0"/>
          <w:i w:val="0"/>
          <w:caps w:val="0"/>
          <w:color w:val="000000"/>
          <w:spacing w:val="0"/>
          <w:sz w:val="21"/>
          <w:szCs w:val="21"/>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t>蜀科</w:t>
      </w:r>
      <w:r>
        <w:rPr>
          <w:rFonts w:hint="eastAsia" w:ascii="宋体" w:hAnsi="宋体" w:eastAsia="宋体" w:cs="宋体"/>
          <w:b w:val="0"/>
          <w:i w:val="0"/>
          <w:caps w:val="0"/>
          <w:color w:val="26709A"/>
          <w:spacing w:val="0"/>
          <w:sz w:val="21"/>
          <w:szCs w:val="21"/>
          <w:u w:val="none"/>
          <w:bdr w:val="none" w:color="auto" w:sz="0" w:space="0"/>
          <w:shd w:val="clear" w:fill="FFFFFF"/>
        </w:rPr>
        <w:fldChar w:fldCharType="begin"/>
      </w:r>
      <w:r>
        <w:rPr>
          <w:rFonts w:hint="eastAsia" w:ascii="宋体" w:hAnsi="宋体" w:eastAsia="宋体" w:cs="宋体"/>
          <w:b w:val="0"/>
          <w:i w:val="0"/>
          <w:caps w:val="0"/>
          <w:color w:val="26709A"/>
          <w:spacing w:val="0"/>
          <w:sz w:val="21"/>
          <w:szCs w:val="21"/>
          <w:u w:val="none"/>
          <w:bdr w:val="none" w:color="auto" w:sz="0" w:space="0"/>
          <w:shd w:val="clear" w:fill="FFFFFF"/>
        </w:rPr>
        <w:instrText xml:space="preserve"> HYPERLINK "http://www.sklxj.com/" \o "http://www.sklxj.com" \t "https://h5.qzone.qq.com/proxy/domain/b.qzone.qq.com/cgi-bin/blognew/_blank" </w:instrText>
      </w:r>
      <w:r>
        <w:rPr>
          <w:rFonts w:hint="eastAsia" w:ascii="宋体" w:hAnsi="宋体" w:eastAsia="宋体" w:cs="宋体"/>
          <w:b w:val="0"/>
          <w:i w:val="0"/>
          <w:caps w:val="0"/>
          <w:color w:val="26709A"/>
          <w:spacing w:val="0"/>
          <w:sz w:val="21"/>
          <w:szCs w:val="21"/>
          <w:u w:val="none"/>
          <w:bdr w:val="none" w:color="auto" w:sz="0" w:space="0"/>
          <w:shd w:val="clear" w:fill="FFFFFF"/>
        </w:rPr>
        <w:fldChar w:fldCharType="separate"/>
      </w:r>
      <w:r>
        <w:rPr>
          <w:rStyle w:val="4"/>
          <w:rFonts w:hint="eastAsia" w:ascii="宋体" w:hAnsi="宋体" w:eastAsia="宋体" w:cs="宋体"/>
          <w:b/>
          <w:i w:val="0"/>
          <w:caps w:val="0"/>
          <w:color w:val="26709A"/>
          <w:spacing w:val="0"/>
          <w:sz w:val="21"/>
          <w:szCs w:val="21"/>
          <w:u w:val="none"/>
          <w:bdr w:val="none" w:color="auto" w:sz="0" w:space="0"/>
          <w:shd w:val="clear" w:fill="FFFFFF"/>
        </w:rPr>
        <w:t>台式高速离心机</w:t>
      </w:r>
      <w:r>
        <w:rPr>
          <w:rFonts w:hint="eastAsia" w:ascii="宋体" w:hAnsi="宋体" w:eastAsia="宋体" w:cs="宋体"/>
          <w:b w:val="0"/>
          <w:i w:val="0"/>
          <w:caps w:val="0"/>
          <w:color w:val="26709A"/>
          <w:spacing w:val="0"/>
          <w:sz w:val="21"/>
          <w:szCs w:val="21"/>
          <w:u w:val="none"/>
          <w:bdr w:val="none" w:color="auto" w:sz="0" w:space="0"/>
          <w:shd w:val="clear" w:fill="FFFFFF"/>
        </w:rPr>
        <w:fldChar w:fldCharType="end"/>
      </w:r>
      <w:r>
        <w:rPr>
          <w:rFonts w:hint="eastAsia" w:ascii="宋体" w:hAnsi="宋体" w:eastAsia="宋体" w:cs="宋体"/>
          <w:b w:val="0"/>
          <w:i w:val="0"/>
          <w:caps w:val="0"/>
          <w:color w:val="000000"/>
          <w:spacing w:val="0"/>
          <w:sz w:val="21"/>
          <w:szCs w:val="21"/>
          <w:bdr w:val="none" w:color="auto" w:sz="0" w:space="0"/>
          <w:shd w:val="clear" w:fill="FFFFFF"/>
        </w:rPr>
        <w:t>全系采用转头识别技术，防止转头超速运转，拥有多项实用新型专利，设计精巧，工艺过硬，有兴趣的客户可以登录我们的官网了解更多详情。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unctuati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F1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56579</dc:creator>
  <cp:lastModifiedBy>56579</cp:lastModifiedBy>
  <dcterms:modified xsi:type="dcterms:W3CDTF">2017-06-30T09:50:19Z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